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F15" w:rsidRDefault="005F3821">
      <w:bookmarkStart w:id="0" w:name="_GoBack"/>
      <w:bookmarkEnd w:id="0"/>
      <w:r>
        <w:rPr>
          <w:noProof/>
          <w:lang w:val="en-AU" w:eastAsia="en-AU"/>
        </w:rPr>
        <w:drawing>
          <wp:anchor distT="0" distB="0" distL="114300" distR="114300" simplePos="0" relativeHeight="2" behindDoc="0" locked="0" layoutInCell="1" allowOverlap="1">
            <wp:simplePos x="0" y="0"/>
            <wp:positionH relativeFrom="column">
              <wp:posOffset>2522220</wp:posOffset>
            </wp:positionH>
            <wp:positionV relativeFrom="paragraph">
              <wp:posOffset>-34290</wp:posOffset>
            </wp:positionV>
            <wp:extent cx="949325" cy="1062990"/>
            <wp:effectExtent l="0" t="0" r="0" b="0"/>
            <wp:wrapTopAndBottom/>
            <wp:docPr id="1" name="Picture 2" descr="E:\Trust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E:\Trust logo.jpg"/>
                    <pic:cNvPicPr>
                      <a:picLocks noChangeAspect="1" noChangeArrowheads="1"/>
                    </pic:cNvPicPr>
                  </pic:nvPicPr>
                  <pic:blipFill>
                    <a:blip r:embed="rId5"/>
                    <a:stretch>
                      <a:fillRect/>
                    </a:stretch>
                  </pic:blipFill>
                  <pic:spPr bwMode="auto">
                    <a:xfrm>
                      <a:off x="0" y="0"/>
                      <a:ext cx="949325" cy="1062990"/>
                    </a:xfrm>
                    <a:prstGeom prst="rect">
                      <a:avLst/>
                    </a:prstGeom>
                    <a:noFill/>
                    <a:ln w="9525">
                      <a:noFill/>
                      <a:miter lim="800000"/>
                      <a:headEnd/>
                      <a:tailEnd/>
                    </a:ln>
                  </pic:spPr>
                </pic:pic>
              </a:graphicData>
            </a:graphic>
          </wp:anchor>
        </w:drawing>
      </w:r>
      <w:r>
        <w:t xml:space="preserve">                                                                                                                     </w:t>
      </w:r>
    </w:p>
    <w:p w:rsidR="000B6F15" w:rsidRDefault="005F3821">
      <w:pPr>
        <w:jc w:val="center"/>
        <w:rPr>
          <w:rFonts w:ascii="Engravers MT" w:hAnsi="Engravers MT"/>
          <w:i/>
          <w:smallCaps/>
          <w:sz w:val="18"/>
        </w:rPr>
      </w:pPr>
      <w:r>
        <w:rPr>
          <w:rFonts w:ascii="Engravers MT" w:hAnsi="Engravers MT"/>
          <w:i/>
          <w:smallCaps/>
          <w:sz w:val="18"/>
        </w:rPr>
        <w:t xml:space="preserve">P r e s e r v </w:t>
      </w:r>
      <w:proofErr w:type="spellStart"/>
      <w:r>
        <w:rPr>
          <w:rFonts w:ascii="Engravers MT" w:hAnsi="Engravers MT"/>
          <w:i/>
          <w:smallCaps/>
          <w:sz w:val="18"/>
        </w:rPr>
        <w:t>i</w:t>
      </w:r>
      <w:proofErr w:type="spellEnd"/>
      <w:r>
        <w:rPr>
          <w:rFonts w:ascii="Engravers MT" w:hAnsi="Engravers MT"/>
          <w:i/>
          <w:smallCaps/>
          <w:sz w:val="18"/>
        </w:rPr>
        <w:t xml:space="preserve"> n g   A u s t r a l </w:t>
      </w:r>
      <w:proofErr w:type="spellStart"/>
      <w:r>
        <w:rPr>
          <w:rFonts w:ascii="Engravers MT" w:hAnsi="Engravers MT"/>
          <w:i/>
          <w:smallCaps/>
          <w:sz w:val="18"/>
        </w:rPr>
        <w:t>i</w:t>
      </w:r>
      <w:proofErr w:type="spellEnd"/>
      <w:r>
        <w:rPr>
          <w:rFonts w:ascii="Engravers MT" w:hAnsi="Engravers MT"/>
          <w:i/>
          <w:smallCaps/>
          <w:sz w:val="18"/>
        </w:rPr>
        <w:t xml:space="preserve"> a ' </w:t>
      </w:r>
      <w:proofErr w:type="gramStart"/>
      <w:r>
        <w:rPr>
          <w:rFonts w:ascii="Engravers MT" w:hAnsi="Engravers MT"/>
          <w:i/>
          <w:smallCaps/>
          <w:sz w:val="18"/>
        </w:rPr>
        <w:t>s  O</w:t>
      </w:r>
      <w:proofErr w:type="gramEnd"/>
      <w:r>
        <w:rPr>
          <w:rFonts w:ascii="Engravers MT" w:hAnsi="Engravers MT"/>
          <w:i/>
          <w:smallCaps/>
          <w:sz w:val="18"/>
        </w:rPr>
        <w:t xml:space="preserve"> l d e s t  G a r d e n  S u b u r b</w:t>
      </w:r>
    </w:p>
    <w:p w:rsidR="000B6F15" w:rsidRDefault="000B6F15">
      <w:pPr>
        <w:jc w:val="center"/>
        <w:rPr>
          <w:rFonts w:ascii="Engravers MT" w:hAnsi="Engravers MT"/>
          <w:i/>
          <w:smallCaps/>
          <w:sz w:val="18"/>
        </w:rPr>
      </w:pPr>
    </w:p>
    <w:p w:rsidR="000B6F15" w:rsidRDefault="005F3821">
      <w:pPr>
        <w:jc w:val="center"/>
        <w:rPr>
          <w:rFonts w:ascii="Engravers MT" w:hAnsi="Engravers MT"/>
          <w:i/>
          <w:smallCaps/>
          <w:sz w:val="18"/>
        </w:rPr>
      </w:pPr>
      <w:r>
        <w:rPr>
          <w:rFonts w:ascii="Engravers MT" w:hAnsi="Engravers MT"/>
          <w:i/>
          <w:smallCaps/>
          <w:sz w:val="18"/>
        </w:rPr>
        <w:t>P.O. Box 85, Hunters Hill, N.S.W. 2110</w:t>
      </w:r>
    </w:p>
    <w:p w:rsidR="000B6F15" w:rsidRDefault="000B6F15">
      <w:pPr>
        <w:jc w:val="right"/>
        <w:rPr>
          <w:rFonts w:ascii="Trebuchet MS" w:hAnsi="Trebuchet MS"/>
          <w:sz w:val="12"/>
          <w:szCs w:val="12"/>
        </w:rPr>
      </w:pPr>
    </w:p>
    <w:p w:rsidR="000B6F15" w:rsidRDefault="005F3821">
      <w:pPr>
        <w:jc w:val="right"/>
        <w:rPr>
          <w:rFonts w:ascii="Trebuchet MS" w:hAnsi="Trebuchet MS"/>
          <w:sz w:val="12"/>
          <w:szCs w:val="12"/>
        </w:rPr>
      </w:pPr>
      <w:r>
        <w:rPr>
          <w:rFonts w:ascii="Trebuchet MS" w:hAnsi="Trebuchet MS"/>
          <w:sz w:val="12"/>
          <w:szCs w:val="12"/>
        </w:rPr>
        <w:t>8-7-2020</w:t>
      </w:r>
      <w:r>
        <w:rPr>
          <w:rFonts w:ascii="Trebuchet MS" w:hAnsi="Trebuchet MS"/>
          <w:sz w:val="12"/>
          <w:szCs w:val="12"/>
        </w:rPr>
        <w:tab/>
      </w:r>
      <w:r>
        <w:rPr>
          <w:rFonts w:ascii="Trebuchet MS" w:hAnsi="Trebuchet MS"/>
          <w:sz w:val="12"/>
          <w:szCs w:val="12"/>
        </w:rPr>
        <w:t>Powerhouse Museum 7_2020.docx</w:t>
      </w:r>
    </w:p>
    <w:p w:rsidR="000B6F15" w:rsidRDefault="000B6F15">
      <w:pPr>
        <w:rPr>
          <w:rFonts w:ascii="Trebuchet MS" w:hAnsi="Trebuchet MS"/>
          <w:sz w:val="22"/>
          <w:szCs w:val="22"/>
        </w:rPr>
      </w:pPr>
    </w:p>
    <w:p w:rsidR="000B6F15" w:rsidRDefault="005F3821">
      <w:r>
        <w:rPr>
          <w:rFonts w:ascii="ArialMT" w:hAnsi="ArialMT"/>
          <w:color w:val="000000"/>
          <w:sz w:val="24"/>
        </w:rPr>
        <w:t>The Hon. Anthony Roberts, MP</w:t>
      </w:r>
    </w:p>
    <w:p w:rsidR="000B6F15" w:rsidRDefault="005F3821">
      <w:r>
        <w:rPr>
          <w:rFonts w:ascii="ArialMT" w:hAnsi="ArialMT"/>
          <w:color w:val="000000"/>
          <w:sz w:val="24"/>
        </w:rPr>
        <w:t>Minister for Planning, Minister for Housing, and Special Minister for State, Leader of the House</w:t>
      </w:r>
    </w:p>
    <w:p w:rsidR="000B6F15" w:rsidRDefault="005F3821">
      <w:r>
        <w:rPr>
          <w:rFonts w:ascii="ArialMT" w:hAnsi="ArialMT"/>
          <w:color w:val="000000"/>
          <w:sz w:val="24"/>
        </w:rPr>
        <w:t>GPO Box 5341</w:t>
      </w:r>
    </w:p>
    <w:p w:rsidR="000B6F15" w:rsidRDefault="005F3821">
      <w:r>
        <w:rPr>
          <w:rFonts w:ascii="ArialMT" w:hAnsi="ArialMT"/>
          <w:color w:val="000000"/>
          <w:sz w:val="24"/>
        </w:rPr>
        <w:t>Sydney, NSW, 2000</w:t>
      </w:r>
    </w:p>
    <w:p w:rsidR="000B6F15" w:rsidRDefault="000B6F15">
      <w:pPr>
        <w:rPr>
          <w:rFonts w:ascii="ArialMT" w:hAnsi="ArialMT"/>
          <w:color w:val="000000"/>
          <w:sz w:val="24"/>
        </w:rPr>
      </w:pPr>
    </w:p>
    <w:p w:rsidR="000B6F15" w:rsidRDefault="000B6F15">
      <w:pPr>
        <w:rPr>
          <w:rFonts w:ascii="ArialMT" w:hAnsi="ArialMT"/>
          <w:color w:val="000000"/>
          <w:sz w:val="24"/>
        </w:rPr>
      </w:pPr>
    </w:p>
    <w:p w:rsidR="000B6F15" w:rsidRDefault="005F3821">
      <w:pPr>
        <w:rPr>
          <w:rFonts w:ascii="Trebuchet MS" w:hAnsi="Trebuchet MS"/>
          <w:sz w:val="22"/>
          <w:szCs w:val="22"/>
        </w:rPr>
      </w:pPr>
      <w:r>
        <w:rPr>
          <w:rFonts w:ascii="ArialMT" w:hAnsi="ArialMT"/>
          <w:color w:val="000000"/>
          <w:sz w:val="24"/>
          <w:szCs w:val="22"/>
        </w:rPr>
        <w:t>Dear Minister Roberts,</w:t>
      </w:r>
    </w:p>
    <w:p w:rsidR="000B6F15" w:rsidRDefault="000B6F15">
      <w:pPr>
        <w:rPr>
          <w:rFonts w:ascii="Trebuchet MS" w:hAnsi="Trebuchet MS"/>
          <w:sz w:val="22"/>
          <w:szCs w:val="22"/>
        </w:rPr>
      </w:pPr>
    </w:p>
    <w:p w:rsidR="000B6F15" w:rsidRDefault="005F3821">
      <w:pPr>
        <w:rPr>
          <w:rFonts w:ascii="Trebuchet MS" w:hAnsi="Trebuchet MS"/>
          <w:sz w:val="22"/>
          <w:szCs w:val="22"/>
        </w:rPr>
      </w:pPr>
      <w:r>
        <w:rPr>
          <w:rFonts w:ascii="Trebuchet MS" w:hAnsi="Trebuchet MS"/>
          <w:sz w:val="22"/>
          <w:szCs w:val="22"/>
        </w:rPr>
        <w:t>Thank you for your new response to our cor</w:t>
      </w:r>
      <w:r>
        <w:rPr>
          <w:rFonts w:ascii="Trebuchet MS" w:hAnsi="Trebuchet MS"/>
          <w:sz w:val="22"/>
          <w:szCs w:val="22"/>
        </w:rPr>
        <w:t>respondence of 30th</w:t>
      </w:r>
      <w:r>
        <w:rPr>
          <w:rFonts w:ascii="Trebuchet MS" w:hAnsi="Trebuchet MS"/>
          <w:sz w:val="22"/>
          <w:szCs w:val="22"/>
          <w:vertAlign w:val="superscript"/>
        </w:rPr>
        <w:t>th</w:t>
      </w:r>
      <w:r>
        <w:rPr>
          <w:rFonts w:ascii="Trebuchet MS" w:hAnsi="Trebuchet MS"/>
          <w:sz w:val="22"/>
          <w:szCs w:val="22"/>
        </w:rPr>
        <w:t xml:space="preserve"> June. The Trust's membership will be thrilled with the decision to save the Powerhouse Museum in Ultimo. </w:t>
      </w:r>
    </w:p>
    <w:p w:rsidR="000B6F15" w:rsidRDefault="000B6F15">
      <w:pPr>
        <w:rPr>
          <w:rFonts w:ascii="Trebuchet MS" w:hAnsi="Trebuchet MS"/>
          <w:sz w:val="22"/>
          <w:szCs w:val="22"/>
        </w:rPr>
      </w:pPr>
    </w:p>
    <w:p w:rsidR="000B6F15" w:rsidRDefault="005F3821">
      <w:pPr>
        <w:rPr>
          <w:rFonts w:ascii="Trebuchet MS" w:hAnsi="Trebuchet MS"/>
          <w:sz w:val="22"/>
          <w:szCs w:val="22"/>
        </w:rPr>
      </w:pPr>
      <w:r>
        <w:rPr>
          <w:rFonts w:ascii="Trebuchet MS" w:hAnsi="Trebuchet MS"/>
          <w:sz w:val="22"/>
          <w:szCs w:val="22"/>
        </w:rPr>
        <w:t>To pick up on some of the themes captured in your first response - you are correct that the Hunters Hill membership was not alo</w:t>
      </w:r>
      <w:r>
        <w:rPr>
          <w:rFonts w:ascii="Trebuchet MS" w:hAnsi="Trebuchet MS"/>
          <w:sz w:val="22"/>
          <w:szCs w:val="22"/>
        </w:rPr>
        <w:t>ne in the concerns we expressed about the Powerhouse Museum project. The chorus of anger and disbelief was growing and has not completely settled, given the Government's original position which ignored the voices of the community as well as a range of expe</w:t>
      </w:r>
      <w:r>
        <w:rPr>
          <w:rFonts w:ascii="Trebuchet MS" w:hAnsi="Trebuchet MS"/>
          <w:sz w:val="22"/>
          <w:szCs w:val="22"/>
        </w:rPr>
        <w:t>rts across disciplines from museology and heritage to engineering and science - locally, nationally and internationally. How much money has been spent trying to justify the flawed Powerhouse Museum move?</w:t>
      </w:r>
    </w:p>
    <w:p w:rsidR="000B6F15" w:rsidRDefault="000B6F15">
      <w:pPr>
        <w:rPr>
          <w:rFonts w:ascii="Trebuchet MS" w:hAnsi="Trebuchet MS"/>
          <w:sz w:val="22"/>
          <w:szCs w:val="22"/>
        </w:rPr>
      </w:pPr>
    </w:p>
    <w:p w:rsidR="000B6F15" w:rsidRDefault="005F3821">
      <w:pPr>
        <w:rPr>
          <w:rFonts w:ascii="Trebuchet MS" w:hAnsi="Trebuchet MS"/>
          <w:b/>
          <w:bCs/>
          <w:sz w:val="22"/>
          <w:szCs w:val="22"/>
        </w:rPr>
      </w:pPr>
      <w:r>
        <w:rPr>
          <w:rFonts w:ascii="Trebuchet MS" w:hAnsi="Trebuchet MS"/>
          <w:b/>
          <w:bCs/>
          <w:sz w:val="22"/>
          <w:szCs w:val="22"/>
        </w:rPr>
        <w:t>As a community that values history, heritage, acces</w:t>
      </w:r>
      <w:r>
        <w:rPr>
          <w:rFonts w:ascii="Trebuchet MS" w:hAnsi="Trebuchet MS"/>
          <w:b/>
          <w:bCs/>
          <w:sz w:val="22"/>
          <w:szCs w:val="22"/>
        </w:rPr>
        <w:t xml:space="preserve">s to culture and education and a strong sense of community we are now seeking for you to advocate (as our local representative and a Member of Cabinet) for the Parramatta project to be paused and reconsidered in light of </w:t>
      </w:r>
      <w:proofErr w:type="gramStart"/>
      <w:r>
        <w:rPr>
          <w:rFonts w:ascii="Trebuchet MS" w:hAnsi="Trebuchet MS"/>
          <w:b/>
          <w:bCs/>
          <w:sz w:val="22"/>
          <w:szCs w:val="22"/>
        </w:rPr>
        <w:t>the</w:t>
      </w:r>
      <w:proofErr w:type="gramEnd"/>
      <w:r>
        <w:rPr>
          <w:rFonts w:ascii="Trebuchet MS" w:hAnsi="Trebuchet MS"/>
          <w:b/>
          <w:bCs/>
          <w:sz w:val="22"/>
          <w:szCs w:val="22"/>
        </w:rPr>
        <w:t xml:space="preserve"> strong local opposition to loss</w:t>
      </w:r>
      <w:r>
        <w:rPr>
          <w:rFonts w:ascii="Trebuchet MS" w:hAnsi="Trebuchet MS"/>
          <w:b/>
          <w:bCs/>
          <w:sz w:val="22"/>
          <w:szCs w:val="22"/>
        </w:rPr>
        <w:t xml:space="preserve"> of the heritage that their community cherishes. Now is the time to seek genuine community input.</w:t>
      </w:r>
    </w:p>
    <w:p w:rsidR="000B6F15" w:rsidRDefault="000B6F15">
      <w:pPr>
        <w:rPr>
          <w:rFonts w:ascii="Trebuchet MS" w:hAnsi="Trebuchet MS"/>
          <w:sz w:val="22"/>
          <w:szCs w:val="22"/>
        </w:rPr>
      </w:pPr>
    </w:p>
    <w:p w:rsidR="000B6F15" w:rsidRDefault="005F3821">
      <w:pPr>
        <w:rPr>
          <w:rFonts w:ascii="Trebuchet MS" w:hAnsi="Trebuchet MS"/>
          <w:sz w:val="22"/>
          <w:szCs w:val="22"/>
        </w:rPr>
      </w:pPr>
      <w:r>
        <w:rPr>
          <w:rFonts w:ascii="Trebuchet MS" w:hAnsi="Trebuchet MS"/>
          <w:sz w:val="22"/>
          <w:szCs w:val="22"/>
        </w:rPr>
        <w:t>We offer the following insights and members of our Committee would be happy to discuss our position with you further:</w:t>
      </w:r>
    </w:p>
    <w:p w:rsidR="000B6F15" w:rsidRDefault="000B6F15">
      <w:pPr>
        <w:rPr>
          <w:rFonts w:ascii="Trebuchet MS" w:hAnsi="Trebuchet MS"/>
          <w:sz w:val="22"/>
          <w:szCs w:val="22"/>
        </w:rPr>
      </w:pPr>
    </w:p>
    <w:p w:rsidR="000B6F15" w:rsidRDefault="005F3821">
      <w:pPr>
        <w:spacing w:after="156"/>
        <w:rPr>
          <w:rFonts w:ascii="Trebuchet MS" w:hAnsi="Trebuchet MS"/>
          <w:sz w:val="22"/>
          <w:szCs w:val="22"/>
        </w:rPr>
      </w:pPr>
      <w:r>
        <w:rPr>
          <w:rFonts w:ascii="Trebuchet MS" w:hAnsi="Trebuchet MS"/>
          <w:b/>
          <w:bCs/>
          <w:sz w:val="22"/>
          <w:szCs w:val="22"/>
        </w:rPr>
        <w:t xml:space="preserve">Benefits of keeping the Powerhouse in </w:t>
      </w:r>
      <w:r>
        <w:rPr>
          <w:rFonts w:ascii="Trebuchet MS" w:hAnsi="Trebuchet MS"/>
          <w:b/>
          <w:bCs/>
          <w:sz w:val="22"/>
          <w:szCs w:val="22"/>
        </w:rPr>
        <w:t>Ultimo</w:t>
      </w:r>
    </w:p>
    <w:p w:rsidR="000B6F15" w:rsidRDefault="005F3821">
      <w:pPr>
        <w:numPr>
          <w:ilvl w:val="0"/>
          <w:numId w:val="1"/>
        </w:numPr>
        <w:spacing w:after="156"/>
        <w:rPr>
          <w:rFonts w:ascii="Trebuchet MS" w:hAnsi="Trebuchet MS"/>
          <w:sz w:val="22"/>
          <w:szCs w:val="22"/>
        </w:rPr>
      </w:pPr>
      <w:r>
        <w:rPr>
          <w:rFonts w:ascii="Trebuchet MS" w:hAnsi="Trebuchet MS"/>
          <w:sz w:val="22"/>
          <w:szCs w:val="22"/>
        </w:rPr>
        <w:t xml:space="preserve">The world significant collections will not now be subject to unnecessary risk through dismantling and moving them from their current carefully designed, climate controlled and engineered locations within the purpose-built world-class, </w:t>
      </w:r>
      <w:proofErr w:type="spellStart"/>
      <w:r>
        <w:rPr>
          <w:rFonts w:ascii="Trebuchet MS" w:hAnsi="Trebuchet MS"/>
          <w:sz w:val="22"/>
          <w:szCs w:val="22"/>
        </w:rPr>
        <w:t>Sulman</w:t>
      </w:r>
      <w:proofErr w:type="spellEnd"/>
      <w:r>
        <w:rPr>
          <w:rFonts w:ascii="Trebuchet MS" w:hAnsi="Trebuchet MS"/>
          <w:sz w:val="22"/>
          <w:szCs w:val="22"/>
        </w:rPr>
        <w:t xml:space="preserve"> Award winning </w:t>
      </w:r>
      <w:r>
        <w:rPr>
          <w:rFonts w:ascii="Trebuchet MS" w:hAnsi="Trebuchet MS"/>
          <w:sz w:val="22"/>
          <w:szCs w:val="22"/>
        </w:rPr>
        <w:t xml:space="preserve">museum facility. </w:t>
      </w:r>
    </w:p>
    <w:p w:rsidR="000B6F15" w:rsidRDefault="005F3821">
      <w:pPr>
        <w:numPr>
          <w:ilvl w:val="0"/>
          <w:numId w:val="1"/>
        </w:numPr>
        <w:spacing w:after="156"/>
        <w:rPr>
          <w:rFonts w:ascii="Trebuchet MS" w:hAnsi="Trebuchet MS"/>
          <w:sz w:val="22"/>
          <w:szCs w:val="22"/>
        </w:rPr>
      </w:pPr>
      <w:r>
        <w:rPr>
          <w:rFonts w:ascii="Trebuchet MS" w:hAnsi="Trebuchet MS"/>
          <w:sz w:val="22"/>
          <w:szCs w:val="22"/>
        </w:rPr>
        <w:t>The Museum's significant storage, conservation and workshop facilities in Ultimo will (we assume) be preserved, thereby protecting the world class collections into the future.</w:t>
      </w:r>
    </w:p>
    <w:p w:rsidR="000B6F15" w:rsidRDefault="005F3821">
      <w:pPr>
        <w:numPr>
          <w:ilvl w:val="0"/>
          <w:numId w:val="1"/>
        </w:numPr>
        <w:spacing w:after="156"/>
        <w:rPr>
          <w:rFonts w:ascii="Trebuchet MS" w:hAnsi="Trebuchet MS"/>
          <w:sz w:val="22"/>
          <w:szCs w:val="22"/>
        </w:rPr>
      </w:pPr>
      <w:r>
        <w:rPr>
          <w:rFonts w:ascii="Trebuchet MS" w:hAnsi="Trebuchet MS"/>
          <w:sz w:val="22"/>
          <w:szCs w:val="22"/>
        </w:rPr>
        <w:t>The exorbitant and rising cost to destroy a museum and its pur</w:t>
      </w:r>
      <w:r>
        <w:rPr>
          <w:rFonts w:ascii="Trebuchet MS" w:hAnsi="Trebuchet MS"/>
          <w:sz w:val="22"/>
          <w:szCs w:val="22"/>
        </w:rPr>
        <w:t>pose-built facilities will hopefully now be contained by removing the loss of investment in Ultimo and the cost of trying to move collections and replace specialist facilities.</w:t>
      </w:r>
    </w:p>
    <w:p w:rsidR="000B6F15" w:rsidRDefault="005F3821">
      <w:pPr>
        <w:numPr>
          <w:ilvl w:val="0"/>
          <w:numId w:val="1"/>
        </w:numPr>
        <w:spacing w:after="156"/>
        <w:rPr>
          <w:rFonts w:ascii="Trebuchet MS" w:hAnsi="Trebuchet MS"/>
          <w:sz w:val="22"/>
          <w:szCs w:val="22"/>
        </w:rPr>
      </w:pPr>
      <w:r>
        <w:rPr>
          <w:rFonts w:ascii="Trebuchet MS" w:hAnsi="Trebuchet MS"/>
          <w:sz w:val="22"/>
          <w:szCs w:val="22"/>
        </w:rPr>
        <w:t xml:space="preserve">We trust that the Government's previously stated commitment 'to ensuring </w:t>
      </w:r>
      <w:r>
        <w:rPr>
          <w:rFonts w:ascii="Trebuchet MS" w:hAnsi="Trebuchet MS"/>
          <w:sz w:val="22"/>
          <w:szCs w:val="22"/>
        </w:rPr>
        <w:t xml:space="preserve">creative spaces remain embedded within the </w:t>
      </w:r>
      <w:proofErr w:type="gramStart"/>
      <w:r>
        <w:rPr>
          <w:rFonts w:ascii="Trebuchet MS" w:hAnsi="Trebuchet MS"/>
          <w:sz w:val="22"/>
          <w:szCs w:val="22"/>
        </w:rPr>
        <w:t>Ultimo</w:t>
      </w:r>
      <w:proofErr w:type="gramEnd"/>
      <w:r>
        <w:rPr>
          <w:rFonts w:ascii="Trebuchet MS" w:hAnsi="Trebuchet MS"/>
          <w:sz w:val="22"/>
          <w:szCs w:val="22"/>
        </w:rPr>
        <w:t xml:space="preserve"> community and developing a precinct-based masterplan for the old Powerhouse site' will now not be progressed any further. The city does not need another creative space when the Art Gallery and the MCA are b</w:t>
      </w:r>
      <w:r>
        <w:rPr>
          <w:rFonts w:ascii="Trebuchet MS" w:hAnsi="Trebuchet MS"/>
          <w:sz w:val="22"/>
          <w:szCs w:val="22"/>
        </w:rPr>
        <w:t>oth located in the city already and there are many other creative spaces.</w:t>
      </w:r>
    </w:p>
    <w:p w:rsidR="000B6F15" w:rsidRDefault="000B6F15">
      <w:pPr>
        <w:spacing w:after="156"/>
        <w:rPr>
          <w:rFonts w:ascii="Trebuchet MS" w:hAnsi="Trebuchet MS"/>
          <w:sz w:val="22"/>
          <w:szCs w:val="22"/>
        </w:rPr>
      </w:pPr>
    </w:p>
    <w:p w:rsidR="000B6F15" w:rsidRDefault="005F3821">
      <w:pPr>
        <w:spacing w:after="156"/>
        <w:rPr>
          <w:rFonts w:ascii="Trebuchet MS" w:hAnsi="Trebuchet MS"/>
          <w:sz w:val="22"/>
          <w:szCs w:val="22"/>
        </w:rPr>
      </w:pPr>
      <w:r>
        <w:rPr>
          <w:rFonts w:ascii="Trebuchet MS" w:hAnsi="Trebuchet MS"/>
          <w:b/>
          <w:bCs/>
          <w:sz w:val="22"/>
          <w:szCs w:val="22"/>
        </w:rPr>
        <w:t>Issues with the proposed facility at Parramatta as designed</w:t>
      </w:r>
    </w:p>
    <w:p w:rsidR="000B6F15" w:rsidRDefault="005F3821">
      <w:pPr>
        <w:numPr>
          <w:ilvl w:val="0"/>
          <w:numId w:val="2"/>
        </w:numPr>
        <w:spacing w:after="156"/>
        <w:rPr>
          <w:rFonts w:ascii="Trebuchet MS" w:hAnsi="Trebuchet MS"/>
          <w:sz w:val="22"/>
          <w:szCs w:val="22"/>
        </w:rPr>
      </w:pPr>
      <w:r>
        <w:rPr>
          <w:rFonts w:ascii="Trebuchet MS" w:hAnsi="Trebuchet MS"/>
          <w:sz w:val="22"/>
          <w:szCs w:val="22"/>
        </w:rPr>
        <w:t>The size of the Powerhouse Precinct building at Parramatta has been continually misrepresented in public statements and m</w:t>
      </w:r>
      <w:r>
        <w:rPr>
          <w:rFonts w:ascii="Trebuchet MS" w:hAnsi="Trebuchet MS"/>
          <w:sz w:val="22"/>
          <w:szCs w:val="22"/>
        </w:rPr>
        <w:t xml:space="preserve">edia releases as larger than the real Powerhouse Museum at Ultimo. It is not. Expert analysis has shown that the Powerhouse Precinct building at Parramatta will have just 25% of the PHM’s international museum standard climate-controlled exhibition space. </w:t>
      </w:r>
    </w:p>
    <w:p w:rsidR="000B6F15" w:rsidRDefault="005F3821">
      <w:pPr>
        <w:numPr>
          <w:ilvl w:val="0"/>
          <w:numId w:val="2"/>
        </w:numPr>
        <w:spacing w:after="156"/>
        <w:rPr>
          <w:rFonts w:ascii="Trebuchet MS" w:hAnsi="Trebuchet MS"/>
          <w:sz w:val="22"/>
          <w:szCs w:val="22"/>
        </w:rPr>
      </w:pPr>
      <w:r>
        <w:rPr>
          <w:rFonts w:ascii="Trebuchet MS" w:hAnsi="Trebuchet MS"/>
          <w:sz w:val="22"/>
          <w:szCs w:val="22"/>
        </w:rPr>
        <w:t>The 'purpose-built facility' at Parramatta will not be the largest museum in NSW, as claimed. Parramatta was promised a museum but it will not be a museum. The Powerhouse Precinct in Parramatta is not the science museum concept endorsed by cabinet in April</w:t>
      </w:r>
      <w:r>
        <w:rPr>
          <w:rFonts w:ascii="Trebuchet MS" w:hAnsi="Trebuchet MS"/>
          <w:sz w:val="22"/>
          <w:szCs w:val="22"/>
        </w:rPr>
        <w:t xml:space="preserve"> 2018. It is not a museum about science for families. It appears to be designed to support the night time economy of Parramatta, as an entertainment zone for large events and temporary exhibitions.</w:t>
      </w:r>
    </w:p>
    <w:p w:rsidR="000B6F15" w:rsidRDefault="005F3821">
      <w:pPr>
        <w:numPr>
          <w:ilvl w:val="0"/>
          <w:numId w:val="2"/>
        </w:numPr>
        <w:spacing w:after="156"/>
        <w:rPr>
          <w:rFonts w:ascii="Trebuchet MS" w:hAnsi="Trebuchet MS"/>
          <w:sz w:val="22"/>
          <w:szCs w:val="22"/>
        </w:rPr>
      </w:pPr>
      <w:r>
        <w:rPr>
          <w:rFonts w:ascii="Trebuchet MS" w:hAnsi="Trebuchet MS"/>
          <w:sz w:val="22"/>
          <w:szCs w:val="22"/>
        </w:rPr>
        <w:t xml:space="preserve">You described the new facility at Parramatta as 'the </w:t>
      </w:r>
      <w:proofErr w:type="spellStart"/>
      <w:r>
        <w:rPr>
          <w:rFonts w:ascii="Trebuchet MS" w:hAnsi="Trebuchet MS"/>
          <w:sz w:val="22"/>
          <w:szCs w:val="22"/>
        </w:rPr>
        <w:t>centr</w:t>
      </w:r>
      <w:r>
        <w:rPr>
          <w:rFonts w:ascii="Trebuchet MS" w:hAnsi="Trebuchet MS"/>
          <w:sz w:val="22"/>
          <w:szCs w:val="22"/>
        </w:rPr>
        <w:t>epiece</w:t>
      </w:r>
      <w:proofErr w:type="spellEnd"/>
      <w:r>
        <w:rPr>
          <w:rFonts w:ascii="Trebuchet MS" w:hAnsi="Trebuchet MS"/>
          <w:sz w:val="22"/>
          <w:szCs w:val="22"/>
        </w:rPr>
        <w:t xml:space="preserve"> for a new Arts and Cultural precinct' - but the design, as is, destroys State Significant Heritage of great local community significance, thereby eroding that community's sense of history, place and belonging and the cultural contribution of the exi</w:t>
      </w:r>
      <w:r>
        <w:rPr>
          <w:rFonts w:ascii="Trebuchet MS" w:hAnsi="Trebuchet MS"/>
          <w:sz w:val="22"/>
          <w:szCs w:val="22"/>
        </w:rPr>
        <w:t>sting heritage. It is not necessary to destroy the things that communities cherish in order to build new civic contributions.</w:t>
      </w:r>
    </w:p>
    <w:p w:rsidR="000B6F15" w:rsidRDefault="005F3821">
      <w:pPr>
        <w:numPr>
          <w:ilvl w:val="0"/>
          <w:numId w:val="2"/>
        </w:numPr>
        <w:spacing w:after="156"/>
        <w:rPr>
          <w:rFonts w:ascii="Trebuchet MS" w:hAnsi="Trebuchet MS"/>
          <w:sz w:val="22"/>
          <w:szCs w:val="22"/>
        </w:rPr>
      </w:pPr>
      <w:r>
        <w:rPr>
          <w:rFonts w:ascii="Trebuchet MS" w:hAnsi="Trebuchet MS"/>
          <w:sz w:val="22"/>
          <w:szCs w:val="22"/>
        </w:rPr>
        <w:t>The brief for the Parramatta project may have had the heritage and cultural significance as a fundamental feature, but the brief a</w:t>
      </w:r>
      <w:r>
        <w:rPr>
          <w:rFonts w:ascii="Trebuchet MS" w:hAnsi="Trebuchet MS"/>
          <w:sz w:val="22"/>
          <w:szCs w:val="22"/>
        </w:rPr>
        <w:t xml:space="preserve">nd the location are clearly flawed because the outcome is loss of heritage and a facility that is not a museum. Something very different could be created that maintains heritage cherished by the community, and adds contemporary facilities. </w:t>
      </w:r>
    </w:p>
    <w:p w:rsidR="000B6F15" w:rsidRDefault="005F3821">
      <w:pPr>
        <w:numPr>
          <w:ilvl w:val="0"/>
          <w:numId w:val="2"/>
        </w:numPr>
        <w:rPr>
          <w:rFonts w:ascii="Trebuchet MS" w:hAnsi="Trebuchet MS"/>
          <w:sz w:val="22"/>
          <w:szCs w:val="22"/>
        </w:rPr>
      </w:pPr>
      <w:r>
        <w:rPr>
          <w:rFonts w:ascii="Trebuchet MS" w:hAnsi="Trebuchet MS"/>
          <w:sz w:val="22"/>
          <w:szCs w:val="22"/>
        </w:rPr>
        <w:t xml:space="preserve">The Government </w:t>
      </w:r>
      <w:r>
        <w:rPr>
          <w:rFonts w:ascii="Trebuchet MS" w:hAnsi="Trebuchet MS"/>
          <w:sz w:val="22"/>
          <w:szCs w:val="22"/>
        </w:rPr>
        <w:t>has many options to create cultural facilities in Parramatta and so it is unclear why a deal was done to purchase a site that is flood prone and abysmally inadequate for the original intent of 'relocating' the Powerhouse Museum. The additional cost to prot</w:t>
      </w:r>
      <w:r>
        <w:rPr>
          <w:rFonts w:ascii="Trebuchet MS" w:hAnsi="Trebuchet MS"/>
          <w:sz w:val="22"/>
          <w:szCs w:val="22"/>
        </w:rPr>
        <w:t xml:space="preserve">ect the site from flood will add an exorbitant amount to the cost and put any collections that may be displayed there at risk - along with visitors. No government in the world would, at this point in history of climate change, plan to build a cultural </w:t>
      </w:r>
      <w:proofErr w:type="spellStart"/>
      <w:r>
        <w:rPr>
          <w:rFonts w:ascii="Trebuchet MS" w:hAnsi="Trebuchet MS"/>
          <w:sz w:val="22"/>
          <w:szCs w:val="22"/>
        </w:rPr>
        <w:t>cent</w:t>
      </w:r>
      <w:r>
        <w:rPr>
          <w:rFonts w:ascii="Trebuchet MS" w:hAnsi="Trebuchet MS"/>
          <w:sz w:val="22"/>
          <w:szCs w:val="22"/>
        </w:rPr>
        <w:t>re</w:t>
      </w:r>
      <w:proofErr w:type="spellEnd"/>
      <w:r>
        <w:rPr>
          <w:rFonts w:ascii="Trebuchet MS" w:hAnsi="Trebuchet MS"/>
          <w:sz w:val="22"/>
          <w:szCs w:val="22"/>
        </w:rPr>
        <w:t xml:space="preserve"> on a flood plain. Did you see the site when it was flooded this year?</w:t>
      </w:r>
    </w:p>
    <w:p w:rsidR="000B6F15" w:rsidRDefault="000B6F15">
      <w:pPr>
        <w:rPr>
          <w:rFonts w:ascii="Trebuchet MS" w:hAnsi="Trebuchet MS"/>
          <w:sz w:val="22"/>
          <w:szCs w:val="22"/>
        </w:rPr>
      </w:pPr>
    </w:p>
    <w:p w:rsidR="000B6F15" w:rsidRDefault="005F3821">
      <w:pPr>
        <w:rPr>
          <w:rFonts w:ascii="Trebuchet MS" w:hAnsi="Trebuchet MS"/>
          <w:sz w:val="22"/>
          <w:szCs w:val="22"/>
        </w:rPr>
      </w:pPr>
      <w:r>
        <w:rPr>
          <w:rFonts w:ascii="Trebuchet MS" w:hAnsi="Trebuchet MS"/>
          <w:sz w:val="22"/>
          <w:szCs w:val="22"/>
        </w:rPr>
        <w:t>To conclude - the Government has chosen the wrong site to build a world class museum in Parramatta. It is a flood prone location and heritage should not be demolished to build a muse</w:t>
      </w:r>
      <w:r>
        <w:rPr>
          <w:rFonts w:ascii="Trebuchet MS" w:hAnsi="Trebuchet MS"/>
          <w:sz w:val="22"/>
          <w:szCs w:val="22"/>
        </w:rPr>
        <w:t>um - a place of learning where history and knowledge are valued. If the new facility is now an arts and events space - then it can be reduced in size to maintain the heritage that the community wishes saved.</w:t>
      </w:r>
    </w:p>
    <w:p w:rsidR="000B6F15" w:rsidRDefault="000B6F15">
      <w:pPr>
        <w:rPr>
          <w:rFonts w:ascii="Trebuchet MS" w:hAnsi="Trebuchet MS"/>
          <w:sz w:val="22"/>
          <w:szCs w:val="22"/>
        </w:rPr>
      </w:pPr>
    </w:p>
    <w:p w:rsidR="000B6F15" w:rsidRDefault="005F3821">
      <w:pPr>
        <w:rPr>
          <w:rFonts w:ascii="Trebuchet MS" w:hAnsi="Trebuchet MS"/>
          <w:sz w:val="22"/>
          <w:szCs w:val="22"/>
        </w:rPr>
      </w:pPr>
      <w:r>
        <w:rPr>
          <w:rFonts w:ascii="Trebuchet MS" w:hAnsi="Trebuchet MS"/>
          <w:sz w:val="22"/>
          <w:szCs w:val="22"/>
        </w:rPr>
        <w:t>We will continue to advocate for Parramatta her</w:t>
      </w:r>
      <w:r>
        <w:rPr>
          <w:rFonts w:ascii="Trebuchet MS" w:hAnsi="Trebuchet MS"/>
          <w:sz w:val="22"/>
          <w:szCs w:val="22"/>
        </w:rPr>
        <w:t xml:space="preserve">itage to be saved and for Western Sydney to get a cultural institution that reflects local stories and community aspirations. </w:t>
      </w:r>
    </w:p>
    <w:p w:rsidR="000B6F15" w:rsidRDefault="000B6F15">
      <w:pPr>
        <w:rPr>
          <w:rFonts w:ascii="Trebuchet MS" w:hAnsi="Trebuchet MS"/>
          <w:sz w:val="22"/>
          <w:szCs w:val="22"/>
        </w:rPr>
      </w:pPr>
    </w:p>
    <w:p w:rsidR="000B6F15" w:rsidRDefault="005F3821">
      <w:pPr>
        <w:rPr>
          <w:rFonts w:ascii="Trebuchet MS" w:hAnsi="Trebuchet MS"/>
          <w:sz w:val="22"/>
          <w:szCs w:val="22"/>
        </w:rPr>
      </w:pPr>
      <w:r>
        <w:rPr>
          <w:rFonts w:ascii="Trebuchet MS" w:hAnsi="Trebuchet MS"/>
          <w:sz w:val="22"/>
          <w:szCs w:val="22"/>
        </w:rPr>
        <w:t>Yours sincerely</w:t>
      </w:r>
    </w:p>
    <w:p w:rsidR="000B6F15" w:rsidRDefault="000B6F15">
      <w:pPr>
        <w:rPr>
          <w:rFonts w:ascii="Trebuchet MS" w:hAnsi="Trebuchet MS"/>
          <w:sz w:val="22"/>
          <w:szCs w:val="22"/>
        </w:rPr>
      </w:pPr>
    </w:p>
    <w:p w:rsidR="000B6F15" w:rsidRDefault="005F3821">
      <w:pPr>
        <w:rPr>
          <w:rFonts w:ascii="Trebuchet MS" w:hAnsi="Trebuchet MS"/>
          <w:sz w:val="22"/>
          <w:szCs w:val="22"/>
        </w:rPr>
      </w:pPr>
      <w:r>
        <w:rPr>
          <w:rFonts w:ascii="Trebuchet MS" w:hAnsi="Trebuchet MS"/>
          <w:noProof/>
          <w:sz w:val="22"/>
          <w:szCs w:val="22"/>
          <w:lang w:val="en-AU" w:eastAsia="en-AU"/>
        </w:rPr>
        <w:drawing>
          <wp:anchor distT="0" distB="0" distL="0" distR="0" simplePos="0" relativeHeight="3" behindDoc="0" locked="0" layoutInCell="1" allowOverlap="1">
            <wp:simplePos x="0" y="0"/>
            <wp:positionH relativeFrom="column">
              <wp:posOffset>388620</wp:posOffset>
            </wp:positionH>
            <wp:positionV relativeFrom="paragraph">
              <wp:posOffset>66675</wp:posOffset>
            </wp:positionV>
            <wp:extent cx="2209800" cy="603885"/>
            <wp:effectExtent l="0" t="0" r="0" b="0"/>
            <wp:wrapSquare wrapText="largest"/>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6"/>
                    <a:stretch>
                      <a:fillRect/>
                    </a:stretch>
                  </pic:blipFill>
                  <pic:spPr bwMode="auto">
                    <a:xfrm>
                      <a:off x="0" y="0"/>
                      <a:ext cx="2209800" cy="603885"/>
                    </a:xfrm>
                    <a:prstGeom prst="rect">
                      <a:avLst/>
                    </a:prstGeom>
                    <a:noFill/>
                    <a:ln w="9525">
                      <a:noFill/>
                      <a:miter lim="800000"/>
                      <a:headEnd/>
                      <a:tailEnd/>
                    </a:ln>
                  </pic:spPr>
                </pic:pic>
              </a:graphicData>
            </a:graphic>
          </wp:anchor>
        </w:drawing>
      </w:r>
    </w:p>
    <w:p w:rsidR="000B6F15" w:rsidRDefault="000B6F15">
      <w:pPr>
        <w:rPr>
          <w:rFonts w:ascii="Trebuchet MS" w:hAnsi="Trebuchet MS"/>
          <w:sz w:val="22"/>
          <w:szCs w:val="22"/>
        </w:rPr>
      </w:pPr>
    </w:p>
    <w:p w:rsidR="000B6F15" w:rsidRDefault="000B6F15">
      <w:pPr>
        <w:rPr>
          <w:rFonts w:ascii="Trebuchet MS" w:hAnsi="Trebuchet MS"/>
          <w:sz w:val="22"/>
          <w:szCs w:val="22"/>
        </w:rPr>
      </w:pPr>
    </w:p>
    <w:p w:rsidR="000B6F15" w:rsidRDefault="000B6F15">
      <w:pPr>
        <w:rPr>
          <w:rFonts w:ascii="Trebuchet MS" w:hAnsi="Trebuchet MS"/>
          <w:sz w:val="22"/>
          <w:szCs w:val="22"/>
        </w:rPr>
      </w:pPr>
    </w:p>
    <w:p w:rsidR="000B6F15" w:rsidRDefault="000B6F15">
      <w:pPr>
        <w:rPr>
          <w:rFonts w:ascii="Trebuchet MS" w:hAnsi="Trebuchet MS"/>
          <w:sz w:val="22"/>
          <w:szCs w:val="22"/>
        </w:rPr>
      </w:pPr>
    </w:p>
    <w:p w:rsidR="000B6F15" w:rsidRDefault="005F3821">
      <w:pPr>
        <w:rPr>
          <w:rFonts w:ascii="Trebuchet MS" w:hAnsi="Trebuchet MS"/>
          <w:sz w:val="22"/>
          <w:szCs w:val="22"/>
        </w:rPr>
      </w:pPr>
      <w:r>
        <w:rPr>
          <w:rFonts w:ascii="Trebuchet MS" w:hAnsi="Trebuchet MS"/>
          <w:sz w:val="22"/>
          <w:szCs w:val="22"/>
        </w:rPr>
        <w:tab/>
      </w:r>
      <w:r>
        <w:rPr>
          <w:rFonts w:ascii="Trebuchet MS" w:hAnsi="Trebuchet MS"/>
          <w:sz w:val="22"/>
          <w:szCs w:val="22"/>
        </w:rPr>
        <w:tab/>
      </w:r>
      <w:r>
        <w:rPr>
          <w:rFonts w:ascii="Trebuchet MS" w:hAnsi="Trebuchet MS"/>
          <w:sz w:val="22"/>
          <w:szCs w:val="22"/>
        </w:rPr>
        <w:tab/>
      </w:r>
      <w:r>
        <w:rPr>
          <w:rFonts w:ascii="Trebuchet MS" w:hAnsi="Trebuchet MS"/>
          <w:sz w:val="22"/>
          <w:szCs w:val="22"/>
        </w:rPr>
        <w:tab/>
      </w:r>
    </w:p>
    <w:p w:rsidR="000B6F15" w:rsidRDefault="005F3821">
      <w:pPr>
        <w:rPr>
          <w:rFonts w:ascii="Trebuchet MS" w:hAnsi="Trebuchet MS"/>
          <w:sz w:val="22"/>
          <w:szCs w:val="22"/>
        </w:rPr>
      </w:pPr>
      <w:r>
        <w:rPr>
          <w:rFonts w:ascii="Trebuchet MS" w:hAnsi="Trebuchet MS"/>
          <w:sz w:val="22"/>
          <w:szCs w:val="22"/>
        </w:rPr>
        <w:tab/>
        <w:t>8 July 2020</w:t>
      </w:r>
    </w:p>
    <w:p w:rsidR="000B6F15" w:rsidRDefault="000B6F15">
      <w:pPr>
        <w:rPr>
          <w:rFonts w:ascii="Trebuchet MS" w:hAnsi="Trebuchet MS"/>
          <w:sz w:val="22"/>
          <w:szCs w:val="22"/>
        </w:rPr>
      </w:pPr>
    </w:p>
    <w:p w:rsidR="000B6F15" w:rsidRDefault="005F3821">
      <w:pPr>
        <w:ind w:left="709"/>
        <w:rPr>
          <w:rFonts w:ascii="Trebuchet MS" w:hAnsi="Trebuchet MS"/>
          <w:sz w:val="22"/>
          <w:szCs w:val="22"/>
        </w:rPr>
      </w:pPr>
      <w:proofErr w:type="spellStart"/>
      <w:r>
        <w:rPr>
          <w:rFonts w:ascii="Trebuchet MS" w:hAnsi="Trebuchet MS"/>
          <w:sz w:val="22"/>
          <w:szCs w:val="22"/>
        </w:rPr>
        <w:t>Alister</w:t>
      </w:r>
      <w:proofErr w:type="spellEnd"/>
      <w:r>
        <w:rPr>
          <w:rFonts w:ascii="Trebuchet MS" w:hAnsi="Trebuchet MS"/>
          <w:sz w:val="22"/>
          <w:szCs w:val="22"/>
        </w:rPr>
        <w:t xml:space="preserve"> Sharp PhD</w:t>
      </w:r>
    </w:p>
    <w:p w:rsidR="000B6F15" w:rsidRDefault="005F3821">
      <w:pPr>
        <w:ind w:left="709"/>
        <w:rPr>
          <w:rFonts w:ascii="Trebuchet MS" w:hAnsi="Trebuchet MS"/>
          <w:color w:val="auto"/>
          <w:sz w:val="22"/>
          <w:szCs w:val="22"/>
        </w:rPr>
      </w:pPr>
      <w:r>
        <w:rPr>
          <w:rFonts w:ascii="Trebuchet MS" w:hAnsi="Trebuchet MS"/>
          <w:color w:val="auto"/>
          <w:sz w:val="22"/>
          <w:szCs w:val="22"/>
        </w:rPr>
        <w:t>President Hunters Hill Trust</w:t>
      </w:r>
    </w:p>
    <w:sectPr w:rsidR="000B6F15">
      <w:pgSz w:w="11906" w:h="16838"/>
      <w:pgMar w:top="567" w:right="1134" w:bottom="850" w:left="1134" w:header="0" w:footer="0" w:gutter="0"/>
      <w:cols w:space="720"/>
      <w:formProt w:val="0"/>
      <w:docGrid w:linePitch="249"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altName w:val="Arial Unicode MS"/>
    <w:charset w:val="02"/>
    <w:family w:val="auto"/>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ngravers MT">
    <w:altName w:val="Times New Roman"/>
    <w:charset w:val="01"/>
    <w:family w:val="roman"/>
    <w:pitch w:val="variable"/>
  </w:font>
  <w:font w:name="Trebuchet MS">
    <w:panose1 w:val="020B0603020202020204"/>
    <w:charset w:val="00"/>
    <w:family w:val="swiss"/>
    <w:pitch w:val="variable"/>
    <w:sig w:usb0="00000287" w:usb1="00000003" w:usb2="00000000" w:usb3="00000000" w:csb0="0000009F" w:csb1="00000000"/>
  </w:font>
  <w:font w:name="ArialMT">
    <w:altName w:val="Times New Roman"/>
    <w:charset w:val="01"/>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5023F"/>
    <w:multiLevelType w:val="multilevel"/>
    <w:tmpl w:val="A17EE75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9F52FCB"/>
    <w:multiLevelType w:val="multilevel"/>
    <w:tmpl w:val="68483376"/>
    <w:lvl w:ilvl="0">
      <w:start w:val="1"/>
      <w:numFmt w:val="bullet"/>
      <w:lvlText w:val=""/>
      <w:lvlJc w:val="left"/>
      <w:pPr>
        <w:tabs>
          <w:tab w:val="num" w:pos="1250"/>
        </w:tabs>
        <w:ind w:left="1250" w:hanging="360"/>
      </w:pPr>
      <w:rPr>
        <w:rFonts w:ascii="Symbol" w:hAnsi="Symbol" w:cs="OpenSymbol" w:hint="default"/>
      </w:rPr>
    </w:lvl>
    <w:lvl w:ilvl="1">
      <w:start w:val="1"/>
      <w:numFmt w:val="bullet"/>
      <w:lvlText w:val="◦"/>
      <w:lvlJc w:val="left"/>
      <w:pPr>
        <w:tabs>
          <w:tab w:val="num" w:pos="1610"/>
        </w:tabs>
        <w:ind w:left="1610" w:hanging="360"/>
      </w:pPr>
      <w:rPr>
        <w:rFonts w:ascii="OpenSymbol" w:hAnsi="OpenSymbol" w:cs="OpenSymbol" w:hint="default"/>
      </w:rPr>
    </w:lvl>
    <w:lvl w:ilvl="2">
      <w:start w:val="1"/>
      <w:numFmt w:val="bullet"/>
      <w:lvlText w:val="▪"/>
      <w:lvlJc w:val="left"/>
      <w:pPr>
        <w:tabs>
          <w:tab w:val="num" w:pos="1970"/>
        </w:tabs>
        <w:ind w:left="1970" w:hanging="360"/>
      </w:pPr>
      <w:rPr>
        <w:rFonts w:ascii="OpenSymbol" w:hAnsi="OpenSymbol" w:cs="OpenSymbol" w:hint="default"/>
      </w:rPr>
    </w:lvl>
    <w:lvl w:ilvl="3">
      <w:start w:val="1"/>
      <w:numFmt w:val="bullet"/>
      <w:lvlText w:val=""/>
      <w:lvlJc w:val="left"/>
      <w:pPr>
        <w:tabs>
          <w:tab w:val="num" w:pos="2330"/>
        </w:tabs>
        <w:ind w:left="2330" w:hanging="360"/>
      </w:pPr>
      <w:rPr>
        <w:rFonts w:ascii="Symbol" w:hAnsi="Symbol" w:cs="OpenSymbol" w:hint="default"/>
      </w:rPr>
    </w:lvl>
    <w:lvl w:ilvl="4">
      <w:start w:val="1"/>
      <w:numFmt w:val="bullet"/>
      <w:lvlText w:val="◦"/>
      <w:lvlJc w:val="left"/>
      <w:pPr>
        <w:tabs>
          <w:tab w:val="num" w:pos="2690"/>
        </w:tabs>
        <w:ind w:left="2690" w:hanging="360"/>
      </w:pPr>
      <w:rPr>
        <w:rFonts w:ascii="OpenSymbol" w:hAnsi="OpenSymbol" w:cs="OpenSymbol" w:hint="default"/>
      </w:rPr>
    </w:lvl>
    <w:lvl w:ilvl="5">
      <w:start w:val="1"/>
      <w:numFmt w:val="bullet"/>
      <w:lvlText w:val="▪"/>
      <w:lvlJc w:val="left"/>
      <w:pPr>
        <w:tabs>
          <w:tab w:val="num" w:pos="3050"/>
        </w:tabs>
        <w:ind w:left="3050" w:hanging="360"/>
      </w:pPr>
      <w:rPr>
        <w:rFonts w:ascii="OpenSymbol" w:hAnsi="OpenSymbol" w:cs="OpenSymbol" w:hint="default"/>
      </w:rPr>
    </w:lvl>
    <w:lvl w:ilvl="6">
      <w:start w:val="1"/>
      <w:numFmt w:val="bullet"/>
      <w:lvlText w:val=""/>
      <w:lvlJc w:val="left"/>
      <w:pPr>
        <w:tabs>
          <w:tab w:val="num" w:pos="3410"/>
        </w:tabs>
        <w:ind w:left="3410" w:hanging="360"/>
      </w:pPr>
      <w:rPr>
        <w:rFonts w:ascii="Symbol" w:hAnsi="Symbol" w:cs="OpenSymbol" w:hint="default"/>
      </w:rPr>
    </w:lvl>
    <w:lvl w:ilvl="7">
      <w:start w:val="1"/>
      <w:numFmt w:val="bullet"/>
      <w:lvlText w:val="◦"/>
      <w:lvlJc w:val="left"/>
      <w:pPr>
        <w:tabs>
          <w:tab w:val="num" w:pos="3770"/>
        </w:tabs>
        <w:ind w:left="3770" w:hanging="360"/>
      </w:pPr>
      <w:rPr>
        <w:rFonts w:ascii="OpenSymbol" w:hAnsi="OpenSymbol" w:cs="OpenSymbol" w:hint="default"/>
      </w:rPr>
    </w:lvl>
    <w:lvl w:ilvl="8">
      <w:start w:val="1"/>
      <w:numFmt w:val="bullet"/>
      <w:lvlText w:val="▪"/>
      <w:lvlJc w:val="left"/>
      <w:pPr>
        <w:tabs>
          <w:tab w:val="num" w:pos="4130"/>
        </w:tabs>
        <w:ind w:left="4130" w:hanging="360"/>
      </w:pPr>
      <w:rPr>
        <w:rFonts w:ascii="OpenSymbol" w:hAnsi="OpenSymbol" w:cs="OpenSymbol" w:hint="default"/>
      </w:rPr>
    </w:lvl>
  </w:abstractNum>
  <w:abstractNum w:abstractNumId="2" w15:restartNumberingAfterBreak="0">
    <w:nsid w:val="4C922FA3"/>
    <w:multiLevelType w:val="multilevel"/>
    <w:tmpl w:val="8ACC4D5C"/>
    <w:lvl w:ilvl="0">
      <w:start w:val="1"/>
      <w:numFmt w:val="bullet"/>
      <w:lvlText w:val=""/>
      <w:lvlJc w:val="left"/>
      <w:pPr>
        <w:tabs>
          <w:tab w:val="num" w:pos="1250"/>
        </w:tabs>
        <w:ind w:left="1250" w:hanging="360"/>
      </w:pPr>
      <w:rPr>
        <w:rFonts w:ascii="Symbol" w:hAnsi="Symbol" w:cs="OpenSymbol" w:hint="default"/>
      </w:rPr>
    </w:lvl>
    <w:lvl w:ilvl="1">
      <w:start w:val="1"/>
      <w:numFmt w:val="bullet"/>
      <w:lvlText w:val="◦"/>
      <w:lvlJc w:val="left"/>
      <w:pPr>
        <w:tabs>
          <w:tab w:val="num" w:pos="1610"/>
        </w:tabs>
        <w:ind w:left="1610" w:hanging="360"/>
      </w:pPr>
      <w:rPr>
        <w:rFonts w:ascii="OpenSymbol" w:hAnsi="OpenSymbol" w:cs="OpenSymbol" w:hint="default"/>
      </w:rPr>
    </w:lvl>
    <w:lvl w:ilvl="2">
      <w:start w:val="1"/>
      <w:numFmt w:val="bullet"/>
      <w:lvlText w:val="▪"/>
      <w:lvlJc w:val="left"/>
      <w:pPr>
        <w:tabs>
          <w:tab w:val="num" w:pos="1970"/>
        </w:tabs>
        <w:ind w:left="1970" w:hanging="360"/>
      </w:pPr>
      <w:rPr>
        <w:rFonts w:ascii="OpenSymbol" w:hAnsi="OpenSymbol" w:cs="OpenSymbol" w:hint="default"/>
      </w:rPr>
    </w:lvl>
    <w:lvl w:ilvl="3">
      <w:start w:val="1"/>
      <w:numFmt w:val="bullet"/>
      <w:lvlText w:val=""/>
      <w:lvlJc w:val="left"/>
      <w:pPr>
        <w:tabs>
          <w:tab w:val="num" w:pos="2330"/>
        </w:tabs>
        <w:ind w:left="2330" w:hanging="360"/>
      </w:pPr>
      <w:rPr>
        <w:rFonts w:ascii="Symbol" w:hAnsi="Symbol" w:cs="OpenSymbol" w:hint="default"/>
      </w:rPr>
    </w:lvl>
    <w:lvl w:ilvl="4">
      <w:start w:val="1"/>
      <w:numFmt w:val="bullet"/>
      <w:lvlText w:val="◦"/>
      <w:lvlJc w:val="left"/>
      <w:pPr>
        <w:tabs>
          <w:tab w:val="num" w:pos="2690"/>
        </w:tabs>
        <w:ind w:left="2690" w:hanging="360"/>
      </w:pPr>
      <w:rPr>
        <w:rFonts w:ascii="OpenSymbol" w:hAnsi="OpenSymbol" w:cs="OpenSymbol" w:hint="default"/>
      </w:rPr>
    </w:lvl>
    <w:lvl w:ilvl="5">
      <w:start w:val="1"/>
      <w:numFmt w:val="bullet"/>
      <w:lvlText w:val="▪"/>
      <w:lvlJc w:val="left"/>
      <w:pPr>
        <w:tabs>
          <w:tab w:val="num" w:pos="3050"/>
        </w:tabs>
        <w:ind w:left="3050" w:hanging="360"/>
      </w:pPr>
      <w:rPr>
        <w:rFonts w:ascii="OpenSymbol" w:hAnsi="OpenSymbol" w:cs="OpenSymbol" w:hint="default"/>
      </w:rPr>
    </w:lvl>
    <w:lvl w:ilvl="6">
      <w:start w:val="1"/>
      <w:numFmt w:val="bullet"/>
      <w:lvlText w:val=""/>
      <w:lvlJc w:val="left"/>
      <w:pPr>
        <w:tabs>
          <w:tab w:val="num" w:pos="3410"/>
        </w:tabs>
        <w:ind w:left="3410" w:hanging="360"/>
      </w:pPr>
      <w:rPr>
        <w:rFonts w:ascii="Symbol" w:hAnsi="Symbol" w:cs="OpenSymbol" w:hint="default"/>
      </w:rPr>
    </w:lvl>
    <w:lvl w:ilvl="7">
      <w:start w:val="1"/>
      <w:numFmt w:val="bullet"/>
      <w:lvlText w:val="◦"/>
      <w:lvlJc w:val="left"/>
      <w:pPr>
        <w:tabs>
          <w:tab w:val="num" w:pos="3770"/>
        </w:tabs>
        <w:ind w:left="3770" w:hanging="360"/>
      </w:pPr>
      <w:rPr>
        <w:rFonts w:ascii="OpenSymbol" w:hAnsi="OpenSymbol" w:cs="OpenSymbol" w:hint="default"/>
      </w:rPr>
    </w:lvl>
    <w:lvl w:ilvl="8">
      <w:start w:val="1"/>
      <w:numFmt w:val="bullet"/>
      <w:lvlText w:val="▪"/>
      <w:lvlJc w:val="left"/>
      <w:pPr>
        <w:tabs>
          <w:tab w:val="num" w:pos="4130"/>
        </w:tabs>
        <w:ind w:left="4130" w:hanging="360"/>
      </w:pPr>
      <w:rPr>
        <w:rFonts w:ascii="OpenSymbol" w:hAnsi="OpenSymbol" w:cs="OpenSymbol"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F15"/>
    <w:rsid w:val="000B6F15"/>
    <w:rsid w:val="005F3821"/>
  </w:rsids>
  <m:mathPr>
    <m:mathFont m:val="Cambria Math"/>
    <m:brkBin m:val="before"/>
    <m:brkBinSub m:val="--"/>
    <m:smallFrac m:val="0"/>
    <m:dispDef/>
    <m:lMargin m:val="0"/>
    <m:rMargin m:val="0"/>
    <m:defJc m:val="centerGroup"/>
    <m:wrapIndent m:val="1440"/>
    <m:intLim m:val="subSup"/>
    <m:naryLim m:val="undOvr"/>
  </m:mathPr>
  <w:themeFontLang w:val="en-AU"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8E5E0A-44DD-4D7C-A89F-0E43A1FEF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color w:val="00000A"/>
      <w:lang w:val="en-US"/>
    </w:rPr>
  </w:style>
  <w:style w:type="paragraph" w:styleId="Heading1">
    <w:name w:val="heading 1"/>
    <w:basedOn w:val="Normal"/>
    <w:next w:val="Normal"/>
    <w:qFormat/>
    <w:pPr>
      <w:keepNext/>
      <w:jc w:val="both"/>
      <w:outlineLvl w:val="0"/>
    </w:pPr>
    <w:rPr>
      <w:b/>
      <w:sz w:val="24"/>
      <w:lang w:val="en-AU"/>
    </w:rPr>
  </w:style>
  <w:style w:type="paragraph" w:styleId="Heading2">
    <w:name w:val="heading 2"/>
    <w:basedOn w:val="Normal"/>
    <w:next w:val="Normal"/>
    <w:qFormat/>
    <w:pPr>
      <w:keepNext/>
      <w:jc w:val="both"/>
      <w:outlineLvl w:val="1"/>
    </w:pPr>
    <w:rPr>
      <w:rFonts w:ascii="Arial" w:hAnsi="Arial"/>
      <w:b/>
      <w:sz w:val="22"/>
    </w:rPr>
  </w:style>
  <w:style w:type="paragraph" w:styleId="Heading3">
    <w:name w:val="heading 3"/>
    <w:basedOn w:val="Heading"/>
    <w:qFormat/>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TextBody"/>
    <w:qFormat/>
    <w:pPr>
      <w:keepNext/>
      <w:spacing w:before="240" w:after="120"/>
    </w:pPr>
    <w:rPr>
      <w:rFonts w:ascii="Arial" w:eastAsia="Arial" w:hAnsi="Arial" w:cs="Arial"/>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qFormat/>
    <w:pPr>
      <w:suppressLineNumbers/>
    </w:pPr>
  </w:style>
  <w:style w:type="paragraph" w:customStyle="1" w:styleId="Quotations">
    <w:name w:val="Quotations"/>
    <w:basedOn w:val="Normal"/>
    <w:qFormat/>
  </w:style>
  <w:style w:type="paragraph" w:styleId="Title">
    <w:name w:val="Title"/>
    <w:basedOn w:val="Heading"/>
    <w:qFormat/>
  </w:style>
  <w:style w:type="paragraph" w:styleId="Subtitle">
    <w:name w:val="Subtitle"/>
    <w:basedOn w:val="Heading"/>
    <w:qFormat/>
  </w:style>
  <w:style w:type="paragraph" w:customStyle="1" w:styleId="Default">
    <w:name w:val="Default"/>
    <w:qFormat/>
    <w:pPr>
      <w:widowControl w:val="0"/>
      <w:tabs>
        <w:tab w:val="left" w:pos="709"/>
      </w:tabs>
      <w:suppressAutoHyphens/>
      <w:spacing w:line="200" w:lineRule="atLeast"/>
    </w:pPr>
    <w:rPr>
      <w:rFonts w:eastAsia="Arial" w:cs="Tahoma"/>
      <w:color w:val="00000A"/>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872</Words>
  <Characters>4974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1 September 1999</vt:lpstr>
    </vt:vector>
  </TitlesOfParts>
  <Company> </Company>
  <LinksUpToDate>false</LinksUpToDate>
  <CharactersWithSpaces>5835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September 1999</dc:title>
  <dc:creator>__ __</dc:creator>
  <cp:lastModifiedBy>m.flowers</cp:lastModifiedBy>
  <cp:revision>2</cp:revision>
  <cp:lastPrinted>2020-07-08T22:11:00Z</cp:lastPrinted>
  <dcterms:created xsi:type="dcterms:W3CDTF">2020-07-09T21:50:00Z</dcterms:created>
  <dcterms:modified xsi:type="dcterms:W3CDTF">2020-07-09T21:50:00Z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 </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